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78 vom 3. September 2020</w:t>
      </w:r>
    </w:p>
    <w:p>
      <w:r>
        <w:t>GR Gerichte, 2020-09-03, DE</w:t>
      </w:r>
    </w:p>
    <w:p>
      <w:r>
        <w:rPr>
          <w:b/>
        </w:rPr>
        <w:t xml:space="preserve">Quelle: </w:t>
      </w:r>
      <w:r>
        <w:t>https://mcp.opencaselaw.ch/entscheid/gr_gerichte_ZK2 2019 78</w:t>
      </w:r>
    </w:p>
    <w:p>
      <w:r>
        <w:t>FR: GR_GERICHTE ZK2 2019 78 du 3 septembre 2020</w:t>
      </w:r>
    </w:p>
    <w:p>
      <w:r>
        <w:t>IT: GR_GERICHTE ZK2 2019 78 del 3 settembre 2020</w:t>
      </w:r>
    </w:p>
    <w:p>
      <w:pPr>
        <w:pStyle w:val="Heading2"/>
      </w:pPr>
      <w:r>
        <w:t>Regeste</w:t>
      </w:r>
    </w:p>
    <w:p>
      <w:r>
        <w:t>negative Feststellungsklage (Art. 85a SchKG) | Beschwerde OR Auftrag/Gesch\x27führung o. Auftrag/Bürgschaft etc.</w:t>
      </w:r>
    </w:p>
    <w:p>
      <w:pPr>
        <w:pStyle w:val="Heading2"/>
      </w:pPr>
      <w:r>
        <w:t>Erwägungen</w:t>
      </w:r>
    </w:p>
    <w:p>
      <w:r>
        <w:rPr>
          <w:b/>
        </w:rPr>
        <w:t>E. 1</w:t>
      </w:r>
    </w:p>
    <w:p>
      <w:r>
        <w:t>Es sei festzustellen, dass der Kläger der Beklagten den Betrag von CHF 3'950.00 nebst Zins zu 5% seit dem 12. März 2012 nicht schul- det.</w:t>
      </w:r>
    </w:p>
    <w:p>
      <w:r>
        <w:rPr>
          <w:b/>
        </w:rPr>
        <w:t>E. 1.2</w:t>
      </w:r>
    </w:p>
    <w:p>
      <w:r>
        <w:t>Mit Beschwerde kann die unrichtige Rechtsanwendung oder die offensicht- lich unrichtige Feststellung des Sachverhalts geltend gemacht werden (Art. 320 ZPO). Die Beschwerde ist unter Beilage des angefochtenen Entscheids beim Kan- tonsgericht von Graubünden innert 30 Tagen seit der Zustellung desselben, bzw. seit der nachträglichen Zustellung der Entscheidbegründung, schriftlich und be- gründet einzureichen (Art. 321 Abs. 1 und 3 ZPO i.V.m. Art. 7 Abs. 1 des kantona- len Einführungsgesetzes zur Schweizerischen Zivilprozessordnung [EGzZPO; BR 320.100]). Der angefochtene Entscheid datiert vom 9. Mai 2019 und wurde am 29. August 2019 mit schriftlicher Begründung mitgeteilt (KG act. B.1). Die dagegen erhobene Beschwerde vom 30. September 2019 (Poststempel) wurde fristgerecht eingereicht (KG act. A.1).</w:t>
      </w:r>
    </w:p>
    <w:p>
      <w:r>
        <w:rPr>
          <w:b/>
        </w:rPr>
        <w:t>E. 1.3</w:t>
      </w:r>
    </w:p>
    <w:p>
      <w:r>
        <w:t>Gemäss Art. 7 Abs. 2 lit. a EGzZPO entscheidet das Kantonsgericht von Graubünden in einzelrichterlicher Kompetenz, wenn der Streitwert im Rechtsmit- telverfahren CHF 5'000.00 nicht überschreitet. Der vom Beschwerdeführer einge- klagte Betrag von CHF 3'950.00 liegt unter CHF 5'000.00, weshalb die vorliegende Streitsache vom Kantonsgericht in einzelrichterlicher Kompetenz zu entscheiden ist.</w:t>
      </w:r>
    </w:p>
    <w:p>
      <w:r>
        <w:rPr>
          <w:b/>
        </w:rPr>
        <w:t>E. 2</w:t>
      </w:r>
    </w:p>
    <w:p>
      <w:r>
        <w:t>Die Betreibung Nr. _____ des Betreibungsamtes Plessur sei aufzuhe- ben und im Betreibungsregister zu löschen.</w:t>
      </w:r>
    </w:p>
    <w:p>
      <w:r>
        <w:rPr>
          <w:b/>
        </w:rPr>
        <w:t>E. 2.1</w:t>
      </w:r>
    </w:p>
    <w:p>
      <w:r>
        <w:t>Die Vorinstanz kam im Entscheid vom 9. Mai 2019 zum Schluss, dass zwi- schen der Beschwerdegegnerin und D._____ ein (mündlicher) Kaufvertrag betref- fend den Kauf eines Occasionswagens vom Typ Renault Clio 1.4 16V zu einem bis Ende März 2012 zahlbaren Preis von CHF 3'900.00 abgeschlossen worden (KG act. B.1, E. 2.1.2) und zwischen dem Beschwerdeführer und der Beschwer-</w:t>
      </w:r>
    </w:p>
    <w:p>
      <w:r>
        <w:rPr>
          <w:b/>
        </w:rPr>
        <w:t>E. 2.2</w:t>
      </w:r>
    </w:p>
    <w:p>
      <w:r>
        <w:t>Der Beschwerdeführer bringt vor, dass er die Zahlung nur subsidiär in Aus- sicht gestellt habe und dies auch nur unter der Voraussetzung, dass das Fahrzeug mängelfrei sei. Damit liege ein akzessorisches Sicherungsversprechen vor. Zwi- schen dem Beschwerdeführer und der Beschwerdegegnerin habe nie ein vom Kaufvertrag unabhängiges Garantieversprechen in Form eines Garantievertrags bestanden (KG act. A.1, Rz. 28). Der Sinn und Zweck des Beschwerdeführers sei es gewesen, die Erfüllung des Vertrages zuzusichern, nicht aber eine Garantie im Sinne von Art. 111 OR abzugeben. Es sei daher davon auszugehen, dass eine Bürgschaft im Sinne von Art. 492 OR vorliege, die jedoch mangels Einhaltung der Formerfordernisse von Art. 493 OR nicht zustande gekommen sei (KG act. A.1, Rz. 50). Zudem sei auch das von der Vorinstanz behauptete Eigeninteresse des Beschwerdeführers nicht mehr ausschlaggebend für eine Bürgschaft, sondern nur noch ein Indiz dafür. Massgebend seien denn auch die gesamten Umstände des Einzelfalles (KG act. A.1, Rz. 52).</w:t>
      </w:r>
    </w:p>
    <w:p>
      <w:r>
        <w:rPr>
          <w:b/>
        </w:rPr>
        <w:t>E. 2.3</w:t>
      </w:r>
    </w:p>
    <w:p>
      <w:r>
        <w:t>Die Beschwerdegegnerin behauptet demgegenüber, dass das garantierte Verhalten des Beschwerdeführers, also die Zahlung des Kaufpreises für D._____, ernstlich habe erwartet werden dürfen und somit ein Garantievertrag zustande gekommen sei. Auch der Verpflichtungswille des Beschwerdeführers sei unbestrit- ten. Zudem habe der Beschwerdeführer auch ein eigenes Interesse, weil im Zeit- punkt des Vertragsschlusses vorgesehen gewesen sei, dass D._____ ihn mit dem gekauften Auto unter anderem zu Gottesdiensten nach Zürich fahren würde (KG act. A.2, E.II.B).</w:t>
      </w:r>
    </w:p>
    <w:p>
      <w:r>
        <w:rPr>
          <w:b/>
        </w:rPr>
        <w:t>E. 2.4</w:t>
      </w:r>
    </w:p>
    <w:p>
      <w:r>
        <w:t>Zwischen den Parteien ist insbesondere strittig, ob es sich bei der Verein- barung um einen Garantievertrag nach Art. 111 OR oder um eine Bürgschaft nach Art. 492 ff OR handelt. Dies ist nachfolgend zu prüfen.</w:t>
      </w:r>
    </w:p>
    <w:p>
      <w:r>
        <w:rPr>
          <w:b/>
        </w:rPr>
        <w:t>E. 3</w:t>
      </w:r>
    </w:p>
    <w:p>
      <w:r>
        <w:t>a)Die Gerichtskosten von CHF 1'550.00 gehen im Umfang von CHF 1'395.00 (9/10) zu Lasten von A._____ und im Umfang von CHF 155.00 (1/10) zu Lasten der B._____. Die von A._____ zu tragenden Kosten werden im Umfang von CHF 350.00 mit dem von ihm geleiste- ten Vorschuss verrechnet. Den Fehlbetrag von CHF 1'045.00 hat A._____ dem Kanton Graubünden nachzuzahlen. b) Die Anträge auf Zusprechung einer Parteientschädigung werden ab- gewiesen.</w:t>
      </w:r>
    </w:p>
    <w:p>
      <w:r>
        <w:rPr>
          <w:b/>
        </w:rPr>
        <w:t>E. 3.1</w:t>
      </w:r>
    </w:p>
    <w:p>
      <w:r>
        <w:t>Der gemeinhin unter Art. 111 OR subsumierte Garantievertrag weist ver- schiedene Erscheinungsformen auf. Bei der reinen Garantie steht der Garant für einen vom konkreten Schuldverhältnis unabhängigen Erfolg ein. Daneben umfasst der Begriff der Garantie auch diejenigen Verpflichtungen, die sich in irgendeiner Weise auf ein Schuldverhältnis beziehen, das dem Begünstigten einen Anspruch auf Leistung eines Dritten gibt (sogenannte bürgschaftsähnliche Garantie oder Garantie im engeren Sinn). Mit den Verpflichtungen soll diese Leistung gesichert werden, gleichgültig, ob sie tatsächlich geschuldet ist. Die Verpflichtung gilt damit auch dann, wenn die Schuldpflicht nie entstanden ist, wegfällt oder nicht erzwing- bar ist. Grundsätzlich verspricht der Promittent dem Promissar mit der Garantie Schadenersatz für den Fall, dass der Dritte sich nicht erwartungsgemäss verhält (BGE 125 III 305 E. 2b; 113 II 434 E. 2a). Der Garantievertrag ist formlos gültig (BGE 101 II 323 E. 1d).</w:t>
      </w:r>
    </w:p>
    <w:p>
      <w:r>
        <w:rPr>
          <w:b/>
        </w:rPr>
        <w:t>E. 3.2</w:t>
      </w:r>
    </w:p>
    <w:p>
      <w:r>
        <w:t>Der Bürgschaftsvertrag ist in Art. 492 OR geregelt. Dieser Artikel besagt, dass sich der Bürge durch den Bürgschaftsvertrag gegenüber dem Gläubiger des Hauptschuldners verpflichtet, für die Erfüllung der Schuld einzustehen. Die Bürg- schaft setzt den Bestand einer anderen (der sicherzustellenden) Verpflichtung voraus. Sie ist dieser beigeordnet und hängt inhaltlich und im Bestand von dieser ab, womit die Bürgschaft einen akzessorischen Charakter aufweist (BGE 129 III 702 E. 2.1; 125 III 305 E. 2b; 113 II 434 E. 2a; 111 II 279 E. 2b).</w:t>
      </w:r>
    </w:p>
    <w:p>
      <w:r>
        <w:rPr>
          <w:b/>
        </w:rPr>
        <w:t>E. 3.3</w:t>
      </w:r>
    </w:p>
    <w:p>
      <w:r>
        <w:t>Als Abgrenzungskriterium zwischen der bürgschaftsähnlichen Garantie und der Bürgschaft steht die Akzessorietät im Vordergrund. Diese bedeutet, dass die Sicherheit das Schicksal der Hauptschuld teilt, indem die akzessorische Verpflich- tung von der Hauptschuld abhängig ist und dieser als Nebenrecht folgt (BGE 125 III 305 E. 2b; 113 II 434 E. 2b; 111 II 276 E. 2b). Dies mit der Wirkung, dass der akzessorisch Verpflichtete, der Bürge, dem Gläubiger die dem Hauptschuldner aus dem Hauptschuldverhältnis zustehenden Einreden und Einwendungen entge- genhalten darf. Bei vorhandener Akzessorietät ist eine Bürgschaft gegeben, bei mangelnder Akzessorietät liegt eine Garantie vor. Während somit bei der Bürg- schaft der Bürge die Zahlungsfähigkeit des Schuldners oder die Erfüllung eines Vertrags garantiert, wird beim Vertrag zulasten eines Dritten eine Leistung als sol- che, unabhängig von der Verpflichtung des Dritten, versprochen (PKG 2013 Nr. 4 E. 2b m.w.H.).</w:t>
      </w:r>
    </w:p>
    <w:p>
      <w:r>
        <w:rPr>
          <w:b/>
        </w:rPr>
        <w:t>E. 3.4</w:t>
      </w:r>
    </w:p>
    <w:p>
      <w:r>
        <w:t>Ob ein selbständiger Garantievertrag oder ein akzessorischer Bürgschafts- vertrag vorliegt, ist durch Auslegung des Sicherungsvertrags zu ermitteln (Urteil des Bundesgerichts 5A_15/2018 vom 16. April 2019, E. 4.4.2, m.H.a. BGE 125 III 305 E. 2b und 111 II 276 E. 2b). Für die Beurteilung, ob eine Verpflichtung selbständig oder akzessorisch ist, sind verschiedene Indizien zu berücksichtigen, wobei jedoch stets den Gesamtumständen Rechnung zu tragen ist (Urteil des Bundesgerichts 5A_15/2018 vom 16. April 2019, E. 4.4.3).</w:t>
      </w:r>
    </w:p>
    <w:p>
      <w:r>
        <w:rPr>
          <w:b/>
        </w:rPr>
        <w:t>E. 3.4.1</w:t>
      </w:r>
    </w:p>
    <w:p>
      <w:r>
        <w:t>Die Indizien sprechen für eine Garantie, wenn die Summe, die der Promit- tent zu zahlen verspricht, nicht mit derjenigen übereinstimmt, die der Haupt- schuldner schuldet (BGE 128 III 295 E. 2d/bb). Hat der Promittent jedoch erklärt, dass er einzig für die Verbindlichkeiten des Hauptschuldners einstehen wolle und sein Leistungsversprechen mithin mit der Leistungspflicht des Hauptschuldners identisch ist, spricht dies namentlich für eine Bürgschaft (Urteil des Bundesge- richts 5A_15/2018 vom 16. April 2019 E. 4.4.3, m.H.a. BGE 113 II 434 E. 3b und 125 III 305 E. 2b).</w:t>
      </w:r>
    </w:p>
    <w:p>
      <w:r>
        <w:rPr>
          <w:b/>
        </w:rPr>
        <w:t>E. 3.4.2</w:t>
      </w:r>
    </w:p>
    <w:p>
      <w:r>
        <w:t>Die Vorinstanz erwog in ihrem Entscheid, dass der Beschwerdeführer eige- nen Angaben zufolge nicht an den Kaufpreisverhandlungen beteiligt war, weshalb er aus eigener Wahrnehmung nichts zur vereinbarten Höhe sagen könne (KG act. B.1, E.2.1.2). Dies spricht dafür, dass sich die Leistungspflicht von D._____ und das Leistungsversprechen des Beschwerdeführers an den Beschwerdegegner decken. Anderes wurde denn auch nicht vorgebracht. Dies ist folglich ein Indiz für eine Bürgschaft.</w:t>
      </w:r>
    </w:p>
    <w:p>
      <w:r>
        <w:rPr>
          <w:b/>
        </w:rPr>
        <w:t>E. 3.4.3</w:t>
      </w:r>
    </w:p>
    <w:p>
      <w:r>
        <w:t>Es ist ein Indiz für eine Garantie, wenn im Sicherungsvertrag selbst ein de- taillierter, selbständiger Leistungsbeschrieb enthalten ist. Wenn für die Feststel- lung der versprochenen Leistung jedoch vollumfänglich auf das Grundverhältnis zurückgegriffen werden muss, liegt vermutungsweise eine Bürgschaft vor (Urteil des Bundesgerichts 5A_15/2018 vom 16. April 2019 E. 4.4.3 m.H.a. BGE 113 II 434 E. 3c; 125 III 305 E. 2b).</w:t>
      </w:r>
    </w:p>
    <w:p>
      <w:r>
        <w:rPr>
          <w:b/>
        </w:rPr>
        <w:t>E. 3.4.4</w:t>
      </w:r>
    </w:p>
    <w:p>
      <w:r>
        <w:t>Zwischen der Beschwerdegegnerin und dem Beschwerdeführer liegt kein selbständiger Sicherungsvertrag mit detailliertem, selbständigem Leistungsbe- schrieb vor. Für die Feststellung der versprochenen Leistung muss vollumfänglich auf das Grundverhältnis zwischen D._____ und der Beschwerdegegnerin zurück- gegriffen werden. Aus diesem Grund liegt vermutungsweise eine Bürgschaft vor.</w:t>
      </w:r>
    </w:p>
    <w:p>
      <w:r>
        <w:rPr>
          <w:b/>
        </w:rPr>
        <w:t>E. 3.4.5</w:t>
      </w:r>
    </w:p>
    <w:p>
      <w:r>
        <w:t>Es spricht eher für einen Garantievertrag, wenn der Promittent verspricht, auf erstes Verlangen zu bezahlen. Auch wenn der Promittent auf die Erhebung der</w:t>
      </w:r>
    </w:p>
    <w:p>
      <w:r>
        <w:rPr>
          <w:b/>
        </w:rPr>
        <w:t>E. 3.4.6</w:t>
      </w:r>
    </w:p>
    <w:p>
      <w:r>
        <w:t>Vorliegend hat der Beschwerdeführer auch nach mehrmaligem Verlangen der Beschwerdegegnerin nicht bezahlt und es ist auch nichts darüber bekannt, dass der Beschwerdeführer dies versprochen hat.</w:t>
      </w:r>
    </w:p>
    <w:p>
      <w:r>
        <w:rPr>
          <w:b/>
        </w:rPr>
        <w:t>E. 3.4.7</w:t>
      </w:r>
    </w:p>
    <w:p>
      <w:r>
        <w:t>Ein unmittelbares eigenes Interesse des Promittenten am Geschäft, für dessen Erfüllung er einzustehen verspricht, ist nach der Rechtsprechung des Bundesgerichts ein gewichtiger Anhaltspunkt dafür, dass keine akzessorische, sondern eine selbständige Verpflichtung vorliegt (BGE 101 II 323 E. 1a; Urteil des Bundesgerichts 4A_59/2017, E. 2.4.3). Darin, dass bei der Bürgschaft ein solches Eigeninteresse fehlt und es sich um ein eigennütziges Geschäft handelt, das typi- scherweise zur Sicherstellung einer Verpflichtung von Familienangehörigen oder engen Freunden eingegangen wird, liegt denn auch der Grund, dass sie besonde- ren Formvorschriften unterstellt wurde (BGE 129 III 702 E. 2.6; Urteil des Bundes- gerichts 4A_59/2017, E. 2.4.3).</w:t>
      </w:r>
    </w:p>
    <w:p>
      <w:r>
        <w:rPr>
          <w:b/>
        </w:rPr>
        <w:t>E. 3.4.8</w:t>
      </w:r>
    </w:p>
    <w:p>
      <w:r>
        <w:t>Die Vorinstanz hat im angefochtenen Entscheid festgehalten, dass, gerade weil die Parteien bereits vorher geschäftliche Beziehungen hatten und sie sich auch privat kennen, der Beschwerdeführer ein persönliches Interesse daran habe, dass der Beschwerdegegnerin durch das Kaufgeschäft mit D._____ kein Schaden entstehe. Damit sei der Verpflichtungswille des Klägers zu bejahen und sämtliche Voraussetzungen für das Zustandekommen eines Garantievertrags seien erfüllt (KG act. B.1, E. 4.2). Der Beschwerdeführer moniert, nur weil sich der Beschwer- deführer und die Beschwerdegegnerin gekannt hätten und bereits zuvor Kaufge- schäfte getätigt hätten, könne nicht von einem Eigeninteresse ausgegangen wer- den. Dies auch, da der Beschwerdeführer nicht vom Geschäft profitiert habe, wes- halb kein materielles und unmittelbares Interesse des Beschwerdeführers zu er- kennen sei (KG act. A.1, Rz. 55). Im Gegensatz dazu führt die Beschwerdegegne- rin aus, dass der Beschwerdeführer ein eigenes Interesse hatte, da zum Zeitpunkt des Vertragsschlusses vorgesehen gewesen sei, dass D._____ ihn mit dem ge- kauften Auto unter anderem zu Gottesdiensten nach Zürich fahren werde (KG act. A.2, E.II.B).</w:t>
      </w:r>
    </w:p>
    <w:p>
      <w:r>
        <w:rPr>
          <w:b/>
        </w:rPr>
        <w:t>E. 3.4.9</w:t>
      </w:r>
    </w:p>
    <w:p>
      <w:r>
        <w:t>Vorliegend kann kein unmittelbares Eigeninteresse des Beschwerdeführers festgestellt werden. Die Nähe zur Beschwerdegegnerin spricht denn auch eher dafür, dass ein uneigennütziges Geschäft unterstützt wird und der Beschwerde- führer aufgrund der Nähe zur Beschwerdegegnerin von den schützenden Form- vorschriften profitieren sollte. Zudem hat die Beschwerdegegnerin ausgesagt, dass D._____ mit dem Fahrzeug Personen für die Kirche herumfahren werde (RG act. VII./3, S. 2). Der Beschwerdeführer sagte demgegenüber aus, er habe im Jah- re 2011 für sich ein Auto gekauft, und er habe D._____ nur geholfen, damit das Kontrollschild auf seinen Namen laufe (RG act. VII/2, S. 2). Da der Beschwerde- führer selbst ein Auto besitzt, ist er nicht darauf angewiesen, dass D._____ ihn zu Gottesdiensten nach Zürich mitnimmt. Da D._____ für die Kirche Personen her- umzufahren beabsichtigte, kann jedoch nicht gänzlich ausgeschlossen werden, dass der Beschwerdeführer, als Leiter der Kirche, ein persönliches Interesse am Kaufgeschäft zwischen der Beschwerdegegnerin und D._____ hatte. Jedoch han- delt es sich nicht um ein unmittelbares, persönliches Interesse. Folglich spricht auch dieses Indiz für eine Bürgschaft zwischen den Parteien.</w:t>
      </w:r>
    </w:p>
    <w:p>
      <w:r>
        <w:rPr>
          <w:b/>
        </w:rPr>
        <w:t>E. 3.5</w:t>
      </w:r>
    </w:p>
    <w:p>
      <w:r>
        <w:t>Nach Auslegung des vom Beschwerdeführer abgegebenen Versprechens sprechen die Indizien dafür, dass eine Bürgschaft nach Art. 492 ff. OR abge- schlossen worden ist.</w:t>
      </w:r>
    </w:p>
    <w:p>
      <w:r>
        <w:rPr>
          <w:b/>
        </w:rPr>
        <w:t>E. 3.6</w:t>
      </w:r>
    </w:p>
    <w:p>
      <w:r>
        <w:t>Wenn die Auslegung nach Wortlaut, Sinn und Zweck des Vertrages, nach dem Sachzusammenhang und der inhaltlichen Ausgestaltung der einzelnen Er- klärungen nicht zu einem eindeutigen Ergebnis führt, greifen verschiedene Vermu- tungen Platz. So gilt die Vermutung, dass zur Verwirklichung des vom Bürg- schaftsrecht angestrebten Schutzes des Verpflichteten im Zweifelsfall eher auf Bürgschaft zu schliessen ist. Garantieerklärungen von Banken und Sicherungsge- schäfte über Auslandverträge werden eher als Garantien, Garantieerklärungen von Privatpersonen demgegenüber eher als Bürgschaften gewertet (Urteil des Bundesgerichts 5A_15/2018 vom 16. April 2019, E. 4.4.4 m.H.a. BGE 131 III 511 E. 4.3; 113 II 434 E. 2c; 111 II 276 E. 2b und 101 II 323 E. 1d). Zur Verwirklichung des im Bürgschaftsrecht verankerten Schutzes des Verpflichteten ist im Zweifels- fall eher Bürgschaft anzunehmen. Die Qualifikation eines Sicherungsvertrages als Bürgschaft entspricht der Vermutung zugunsten der milderen Verpflichtung. Die Vermutung der Bürgschaft gilt nur, falls weder aus dem Wortlaut, noch aus dem Zweck und den gesamten Umständen eine andere Folgerung gezogen werden muss (Christoph M. Pestalozzi in: Widmer Lüchinger/Oser [Hrsg.], Basler Kom- mentar zum Obligationenrecht I, Art. 1-529 OR, 7. Aufl., Basel 2019, N 25 zu Art. 111 OR).</w:t>
      </w:r>
    </w:p>
    <w:p>
      <w:r>
        <w:rPr>
          <w:b/>
        </w:rPr>
        <w:t>E. 3.7</w:t>
      </w:r>
    </w:p>
    <w:p>
      <w:r>
        <w:t>Zusammenfassend ist festzuhalten, dass die Indizien im vorliegenden Fall für einen Bürgschaftsvertrag zwischen dem Beschwerdeführer und der Beschwer- degegnerin sprechen. Auch subsidiär wäre nach dem vorstehend Gesagten von einer Bürgschaft auszugehen, zumal der Beschwerdeführer weder geschäfts- noch rechtsgewandt ist. Zwischen dem Beschwerdeführer und der Beschwerde- gegnerin ist daher vorbehältlich der nachfolgend zu prüfenden Formgültigkeit ein Bürgschaftsvertrag entstanden.</w:t>
      </w:r>
    </w:p>
    <w:p>
      <w:r>
        <w:rPr>
          <w:b/>
        </w:rPr>
        <w:t>E. 4</w:t>
      </w:r>
    </w:p>
    <w:p>
      <w:r>
        <w:t>(Rechtsmittelbelehrung)</w:t>
      </w:r>
    </w:p>
    <w:p>
      <w:r>
        <w:rPr>
          <w:b/>
        </w:rPr>
        <w:t>E. 4.1</w:t>
      </w:r>
    </w:p>
    <w:p>
      <w:r>
        <w:t>Die Bürgschaft bedarf zu ihrer Gültigkeit der schriftlichen Erklärung des Bürgen und der Angabe des zahlenmässig bestimmten Höchstbetrags seiner Haf- tung in der Bürgschaftsurkunde selbst (Art. 493 Abs. 1 OR). Die Bürgschaftser- klärung natürlicher Personen bedarf zudem der öffentlichen Beurkundung, sofern sie die Haftungssumme von CHF 2'000.00 übersteigt (Art. 493 Abs. 2 OR). Die Nichtbeachtung der Formvorschriften hat die Nichtigkeit des Bürgschaftsvertrages zur Folge. Das Bundesgericht erblickt in der Berufung auf einen Formmangel kei- nen Rechtsmissbrauch, sofern die betreffende Partei den Mangel nicht absichtlich herbeigeführt hat, um ihn dann nachträglich geltend zu machen (Christoph M. Pestalozzi, a.a.O., N 3 zu Art. 493 OR).</w:t>
      </w:r>
    </w:p>
    <w:p>
      <w:r>
        <w:rPr>
          <w:b/>
        </w:rPr>
        <w:t>E. 4.2</w:t>
      </w:r>
    </w:p>
    <w:p>
      <w:r>
        <w:t>In casu hat der Beschwerdeführer der Beschwerdegegnerin ein Verspre- chen im Sinne einer Bürgschaft in der Höhe von CHF 3'950.00 abgegeben. Als natürliche Person hat der Beschwerdeführer die Schwelle von CHF 2'000.00 für die Notwendigkeit der öffentlichen Beurkundung des Bürgschaftsvertrags erreicht. Da diese Formvorschrift nicht eingehalten worden ist, ist der Bürgschaftsvertrag zwischen dem Beschwerdeführer und der Beschwerdegegnerin nichtig. Ein rechtsmissbräuchliches Verhalten des Beschwerdeführers wurde nicht geltend gemacht und ist auch nicht ersichtlich, zumal es sich beim Beschwerdeführer um einen juristischen Laien handelt. 5. Insgesamt ist somit festzuhalten, dass der Beschwerdeführer der Be- schwerdegegnerin die Summe von CHF 3'950.00 nicht schuldet. Aus diesem Grund ist es nicht notwendig, die anderen streitigen Punkte – namentlich die gel- tend gemachte, stillschweigende Zustimmung zur Wandelung des Kaufvertrages – zu behandeln, da sich daraus nichts anderes ergeben könnte.</w:t>
      </w:r>
    </w:p>
    <w:p>
      <w:r>
        <w:rPr>
          <w:b/>
        </w:rPr>
        <w:t>E. 5</w:t>
      </w:r>
    </w:p>
    <w:p>
      <w:r>
        <w:t>/ 12 degegnerin ein Garantievertrag zustande gekommen sei (KG act. B.1, E. 4.2). Laut Vorinstanz habe die Beschwerdegegnerin davon ausgehen dürfen, dass das garantierte Verhalten (Kaufpreiszahlung von D._____) ernstlich habe erwartet werden können. Weil die Parteien bereits vorher geschäftliche Beziehungen ge- habt und sich auch privat gekannt hätten, habe der Beschwerdeführer ein persön- liches Interesse daran gehabt, dass der Beschwerdegegnerin durch das Kaufge- schäft mit D._____ kein Schaden entstehen würde, womit sämtliche Vorausset- zungen für das Zustandekommen eines Garantievertrags erfüllt seien. Weil D._____ nicht bezahlt habe, müsse der Beschwerdeführer den Beschwerdegeg- ner schadlos halten. Der Beschwerdeführer habe der Beschwerdegegnerin daher Schadenersatz in Höhe der verbleibenden Kaufpreiszahlung von CHF 3'500.00 (Kaufpreis von CHF 3'900.00 abzüglich einer Teilzahlung in Höhe von CHF 400.00 bei Rückgabe des Fahrzeugs) zu bezahlen (KG act. B.1, E. 4.2).</w:t>
      </w:r>
    </w:p>
    <w:p>
      <w:r>
        <w:rPr>
          <w:b/>
        </w:rPr>
        <w:t>E. 6</w:t>
      </w:r>
    </w:p>
    <w:p>
      <w:r>
        <w:t>/ 12</w:t>
      </w:r>
    </w:p>
    <w:p>
      <w:r>
        <w:rPr>
          <w:b/>
        </w:rPr>
        <w:t>E. 6.1</w:t>
      </w:r>
    </w:p>
    <w:p>
      <w:r>
        <w:t>Gemäss Art. 104 Abs. 1 ZPO entscheidet das Gericht über die Prozesskos- ten, bestehend aus den Gerichtskosten und der Parteientschädigung (vgl. Art. 95 Abs. 1 ZPO), in der Regel im Endentscheid. Die Prozesskosten werden gemäss Art. 106 Abs. 1 ZPO nach Massgabe des Obsiegens und Unterliegens verteilt. Vorliegend hat der Beschwerdeführer sowohl im erstinstanzlichen als auch im Be-</w:t>
      </w:r>
    </w:p>
    <w:p>
      <w:r>
        <w:rPr>
          <w:b/>
        </w:rPr>
        <w:t>E. 6.2</w:t>
      </w:r>
    </w:p>
    <w:p>
      <w:r>
        <w:t>Nach dem Gesagten gehen die Kosten des erstinstanzlichen Verfahrens in Höhe von CHF 1'550.00 zu Lasten der Beschwerdegegnerin. Sie werden mit dem vom Beschwerdeführer geleisteten Kostenvorschuss von CHF 350.00 verrechnet. Die Beschwerdegegnerin wird verpflichtet, dem Beschwerdeführer den Betrag von CHF 350.00 direkt zu ersetzen. Im Mehrbetrag von CHF 1'200.00 werden die Ge- richtskosten der Beschwerdegegnerin durch das Regionalgericht Plessur in Rech- nung gestellt.</w:t>
      </w:r>
    </w:p>
    <w:p>
      <w:r>
        <w:rPr>
          <w:b/>
        </w:rPr>
        <w:t>E. 6.3</w:t>
      </w:r>
    </w:p>
    <w:p>
      <w:r>
        <w:t>Die Beschwerdegegnerin hat den Beschwerdeführer zudem ausseramtlich zu entschädigen. Mit Honorarnote vom 9. Mai 2019 machte der Rechtsvertreter des Beschwerdeführers einen Aufwand von 8.5 Stunden geltend. Der Aufwand ist ausgewiesen und erscheint gerechtfertigt. Auch der veranschlagte Stundenansatz von CHF 260.00 ist angesichts der im Recht liegenden Honorarvereinbarung (RG act. VI/2) nicht zu beanstanden. Daraus resultiert ein Honorar nach Zeitaufwand in Höhe von CHF 2'210.00. Zuzüglich Barauslagen von CHF 50.00 und 7.7% Mehr- wertsteuer ergibt dies eine Parteientschädigung in Höhe von CHF 2'434.00.</w:t>
      </w:r>
    </w:p>
    <w:p>
      <w:r>
        <w:rPr>
          <w:b/>
        </w:rPr>
        <w:t>E. 6.4</w:t>
      </w:r>
    </w:p>
    <w:p>
      <w:r>
        <w:t>Nach Art. 10 Abs. 1 der Verordnung über die Gerichtsgebühren in Zivilsa- chen (VGZ; BR 320.210) beträgt die Entscheidgebühr zivilrechtlicher Beschwer- den zwischen CHF 500.00 und CHF 8'000.00. Aufgrund der sich stellenden Sach- verhalts- und Rechtsfragen rechtfertigt sich vorliegend eine pauschale Entscheid- gebühr von CHF 2'000.00. Diese ist mit dem vom Beschwerdeführer geleisteten Kostenvorschuss in selbiger Höhe zu verrechnen. Die Beschwerdegegnerin wird verpflichtet, dem Beschwerdeführer den Betrag von CHF 2'000.00 direkt zu erset- zen.</w:t>
      </w:r>
    </w:p>
    <w:p>
      <w:r>
        <w:rPr>
          <w:b/>
        </w:rPr>
        <w:t>E. 6.5</w:t>
      </w:r>
    </w:p>
    <w:p>
      <w:r>
        <w:t>Die Parteikosten des Beschwerdeführers werden bei diesem Ausgang des Verfahrens ebenfalls der Beschwerdegegnerin auferlegt. Mangels Einreichung einer Honorarnote wird der Aufwand des Rechtsvertreters des Beschwerdeführers nach Ermessen des Gerichts festgelegt (Art. 2 der Honorarverordnung über die Bemessung des Honorars der Rechtsanwältinnen und Rechtsanwälte [HV; BR 310.250]). In Anbetracht der sich stellenden Sachverhalts- und Rechtsfragen so- wie des für die Beschwerdeschrift angefallenen Aufwandes erscheint eine Partei- entschädigung von pauschal CHF 2’400.00 (inkl. Barauslagen und Mehrwertsteu- er) als angemessen.</w:t>
      </w:r>
    </w:p>
    <w:p>
      <w:r>
        <w:rPr>
          <w:b/>
        </w:rPr>
        <w:t>E. 7</w:t>
      </w:r>
    </w:p>
    <w:p>
      <w:r>
        <w:t>/ 12</w:t>
      </w:r>
    </w:p>
    <w:p>
      <w:r>
        <w:rPr>
          <w:b/>
        </w:rPr>
        <w:t>E. 8</w:t>
      </w:r>
    </w:p>
    <w:p>
      <w:r>
        <w:t>/ 12 dem Hauptschuldner zustehenden Einreden und Einwendungen verzichtet, so spricht dies eher dafür, dass eine Garantie gewollt gewesen war. Allerdings reicht dies für sich allein nicht aus, um von einer Garantie auszugehen, da es sich auch um eine nach Massgabe des Bürgschaftsrechts (Art. 492 Abs. 4 i.V.m. Art. 502 OR) nichtige Verpflichtung handeln kann (Urteil des Bundesgerichts 5A_15/2018 vom 16. April 2019 E. 4.4.3 m.w.H.).</w:t>
      </w:r>
    </w:p>
    <w:p>
      <w:r>
        <w:rPr>
          <w:b/>
        </w:rPr>
        <w:t>E. 9</w:t>
      </w:r>
    </w:p>
    <w:p>
      <w:r>
        <w:t>/ 12</w:t>
      </w:r>
    </w:p>
    <w:p>
      <w:r>
        <w:rPr>
          <w:b/>
        </w:rPr>
        <w:t>E. 10</w:t>
      </w:r>
    </w:p>
    <w:p>
      <w:r>
        <w:t>/ 12</w:t>
      </w:r>
    </w:p>
    <w:p>
      <w:r>
        <w:rPr>
          <w:b/>
        </w:rPr>
        <w:t>E. 11</w:t>
      </w:r>
    </w:p>
    <w:p>
      <w:r>
        <w:t>/ 12 schwerdeverfahren vollumfänglich obsiegt, womit die Prozesskosten der Be- schwerdegegnerin aufzuerlegen sind.</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